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1258" w14:textId="568459BE" w:rsidR="00C33E30" w:rsidRPr="005424D7" w:rsidRDefault="005424D7" w:rsidP="005424D7">
      <w:pPr>
        <w:jc w:val="center"/>
        <w:rPr>
          <w:b/>
          <w:u w:val="single"/>
        </w:rPr>
      </w:pPr>
      <w:r w:rsidRPr="005424D7">
        <w:rPr>
          <w:b/>
          <w:u w:val="single"/>
        </w:rPr>
        <w:t xml:space="preserve">Motion # </w:t>
      </w:r>
      <w:r w:rsidR="005F6472">
        <w:rPr>
          <w:b/>
          <w:u w:val="single"/>
        </w:rPr>
        <w:t>5</w:t>
      </w:r>
    </w:p>
    <w:p w14:paraId="31E27BFB" w14:textId="5D6EBDE2" w:rsidR="005424D7" w:rsidRDefault="005424D7">
      <w:pPr>
        <w:rPr>
          <w:b/>
          <w:u w:val="single"/>
        </w:rPr>
      </w:pPr>
      <w:r w:rsidRPr="005424D7">
        <w:rPr>
          <w:b/>
          <w:u w:val="single"/>
        </w:rPr>
        <w:t>Guidelines for Christian Initiation</w:t>
      </w:r>
      <w:r w:rsidR="005F6472">
        <w:rPr>
          <w:b/>
          <w:u w:val="single"/>
        </w:rPr>
        <w:t xml:space="preserve"> (Motion # 17 of GSTHW 2016 lying on the table)</w:t>
      </w:r>
    </w:p>
    <w:p w14:paraId="7C776762" w14:textId="77777777" w:rsidR="005F6472" w:rsidRPr="005424D7" w:rsidRDefault="005F6472">
      <w:pPr>
        <w:rPr>
          <w:b/>
          <w:u w:val="single"/>
        </w:rPr>
      </w:pPr>
    </w:p>
    <w:p w14:paraId="58BB26FF" w14:textId="06191432" w:rsidR="005424D7" w:rsidRDefault="005424D7">
      <w:r w:rsidRPr="005424D7">
        <w:rPr>
          <w:b/>
        </w:rPr>
        <w:t>Mover:</w:t>
      </w:r>
      <w:r>
        <w:tab/>
      </w:r>
      <w:r w:rsidR="00C94B6A">
        <w:t xml:space="preserve"> </w:t>
      </w:r>
      <w:r>
        <w:t>T</w:t>
      </w:r>
      <w:r w:rsidR="006A6DF3">
        <w:t>h</w:t>
      </w:r>
      <w:r>
        <w:t>e Right Rev’d TK Pikaahu</w:t>
      </w:r>
      <w:r>
        <w:tab/>
      </w:r>
      <w:r>
        <w:tab/>
      </w:r>
      <w:r w:rsidRPr="00AF596A">
        <w:rPr>
          <w:b/>
        </w:rPr>
        <w:t>Seconder:</w:t>
      </w:r>
    </w:p>
    <w:p w14:paraId="1ED3E42C" w14:textId="77777777" w:rsidR="005424D7" w:rsidRDefault="005424D7"/>
    <w:p w14:paraId="41E5362A" w14:textId="77777777" w:rsidR="005424D7" w:rsidRPr="005424D7" w:rsidRDefault="005424D7">
      <w:pPr>
        <w:rPr>
          <w:b/>
        </w:rPr>
      </w:pPr>
      <w:r w:rsidRPr="005424D7">
        <w:rPr>
          <w:b/>
        </w:rPr>
        <w:t xml:space="preserve">This General Synod/ </w:t>
      </w:r>
      <w:proofErr w:type="spellStart"/>
      <w:r w:rsidRPr="005424D7">
        <w:rPr>
          <w:b/>
        </w:rPr>
        <w:t>te</w:t>
      </w:r>
      <w:proofErr w:type="spellEnd"/>
      <w:r w:rsidRPr="005424D7">
        <w:rPr>
          <w:b/>
        </w:rPr>
        <w:t xml:space="preserve"> </w:t>
      </w:r>
      <w:proofErr w:type="spellStart"/>
      <w:r w:rsidRPr="005424D7">
        <w:rPr>
          <w:b/>
        </w:rPr>
        <w:t>Hīnota</w:t>
      </w:r>
      <w:proofErr w:type="spellEnd"/>
      <w:r w:rsidRPr="005424D7">
        <w:rPr>
          <w:b/>
        </w:rPr>
        <w:t xml:space="preserve"> </w:t>
      </w:r>
      <w:proofErr w:type="spellStart"/>
      <w:r w:rsidRPr="005424D7">
        <w:rPr>
          <w:b/>
        </w:rPr>
        <w:t>Whānui</w:t>
      </w:r>
      <w:proofErr w:type="spellEnd"/>
      <w:r w:rsidRPr="005424D7">
        <w:rPr>
          <w:b/>
        </w:rPr>
        <w:t xml:space="preserve"> 2016:</w:t>
      </w:r>
    </w:p>
    <w:p w14:paraId="115BBC5B" w14:textId="77777777" w:rsidR="005424D7" w:rsidRDefault="005424D7">
      <w:r>
        <w:t xml:space="preserve">Move into Committee, pursuant to Title C, Canon II, Clause 5, to amend </w:t>
      </w:r>
      <w:r w:rsidR="00AF596A">
        <w:t xml:space="preserve">Standing Resolution </w:t>
      </w:r>
      <w:r>
        <w:t>SRL4.</w:t>
      </w:r>
    </w:p>
    <w:p w14:paraId="0755B366" w14:textId="77777777" w:rsidR="005424D7" w:rsidRDefault="005424D7"/>
    <w:p w14:paraId="7DCFF657" w14:textId="77777777" w:rsidR="005424D7" w:rsidRPr="005424D7" w:rsidRDefault="005424D7">
      <w:pPr>
        <w:rPr>
          <w:u w:val="single"/>
        </w:rPr>
      </w:pPr>
      <w:r w:rsidRPr="005424D7">
        <w:rPr>
          <w:u w:val="single"/>
        </w:rPr>
        <w:t>In Committee:</w:t>
      </w:r>
    </w:p>
    <w:p w14:paraId="2E2A60D7" w14:textId="77777777" w:rsidR="005424D7" w:rsidRDefault="005424D7">
      <w:r>
        <w:t>Adopts the following changes to the Standing Resolution SRL4. Guidelines for Christian Initiation.</w:t>
      </w:r>
    </w:p>
    <w:p w14:paraId="2AD1EE0D" w14:textId="77777777" w:rsidR="005424D7" w:rsidRDefault="005424D7"/>
    <w:p w14:paraId="52A6294F" w14:textId="3C864F8C" w:rsidR="005424D7" w:rsidRDefault="005424D7" w:rsidP="00C94B6A">
      <w:pPr>
        <w:ind w:left="567" w:hanging="567"/>
      </w:pPr>
      <w:r>
        <w:t xml:space="preserve">1 </w:t>
      </w:r>
      <w:r w:rsidR="00C94B6A">
        <w:tab/>
      </w:r>
      <w:r>
        <w:t>In Section 1 (b) v) line 3, delete the words ‘in Confirmation’, the clause then reads ‘and to receive, in the Laying on of Hands, the strengthening power …</w:t>
      </w:r>
    </w:p>
    <w:p w14:paraId="4B8BAB91" w14:textId="07A68D2C" w:rsidR="005424D7" w:rsidRDefault="005424D7" w:rsidP="00C94B6A">
      <w:pPr>
        <w:ind w:left="567" w:hanging="567"/>
      </w:pPr>
      <w:r>
        <w:t xml:space="preserve">2 </w:t>
      </w:r>
      <w:r w:rsidR="00C94B6A">
        <w:tab/>
      </w:r>
      <w:r>
        <w:t>In Section 2, replace the heading with the words ‘Laying on of Hands for Affirmation’.</w:t>
      </w:r>
    </w:p>
    <w:p w14:paraId="4841BAC8" w14:textId="1B828643" w:rsidR="005424D7" w:rsidRDefault="005424D7" w:rsidP="00C94B6A">
      <w:pPr>
        <w:ind w:left="567" w:hanging="567"/>
      </w:pPr>
      <w:r>
        <w:t xml:space="preserve">3 </w:t>
      </w:r>
      <w:r w:rsidR="00C94B6A">
        <w:tab/>
      </w:r>
      <w:r>
        <w:t>In Section 2 (c) rewording to read ‘The rite of Laying on of Hands is an occasion …</w:t>
      </w:r>
    </w:p>
    <w:p w14:paraId="1CA77415" w14:textId="7965716F" w:rsidR="005424D7" w:rsidRDefault="005424D7" w:rsidP="00C94B6A">
      <w:pPr>
        <w:ind w:left="567" w:hanging="567"/>
      </w:pPr>
      <w:r>
        <w:t xml:space="preserve">4 </w:t>
      </w:r>
      <w:r w:rsidR="00C94B6A">
        <w:tab/>
      </w:r>
      <w:r>
        <w:t xml:space="preserve">In Section 2 (d) substitute with these words “The Bishop shall be the minister for the Laying on </w:t>
      </w:r>
      <w:r w:rsidR="00D8212E">
        <w:t>of</w:t>
      </w:r>
      <w:r>
        <w:t xml:space="preserve"> </w:t>
      </w:r>
      <w:r w:rsidR="00D8212E">
        <w:t>Hands</w:t>
      </w:r>
      <w:r>
        <w:t xml:space="preserve"> </w:t>
      </w:r>
      <w:r w:rsidR="00D8212E">
        <w:t xml:space="preserve">for </w:t>
      </w:r>
      <w:r>
        <w:t>Affirmation, Renewal and</w:t>
      </w:r>
      <w:r w:rsidR="00D8212E">
        <w:t xml:space="preserve"> Reception</w:t>
      </w:r>
      <w:r>
        <w:t>.”</w:t>
      </w:r>
    </w:p>
    <w:p w14:paraId="5F1D12E8" w14:textId="43BD98E6" w:rsidR="005424D7" w:rsidRDefault="005424D7" w:rsidP="00C94B6A">
      <w:pPr>
        <w:ind w:left="567" w:hanging="567"/>
      </w:pPr>
      <w:r>
        <w:t xml:space="preserve">5 </w:t>
      </w:r>
      <w:r w:rsidR="00C94B6A">
        <w:tab/>
      </w:r>
      <w:r>
        <w:t>In</w:t>
      </w:r>
      <w:r w:rsidR="00D8212E">
        <w:t xml:space="preserve"> Section</w:t>
      </w:r>
      <w:r>
        <w:t xml:space="preserve"> 3, para 2, line 4, remove the word ‘Confirmation’ and substitute the word “Affirmation”.</w:t>
      </w:r>
    </w:p>
    <w:p w14:paraId="796B40D8" w14:textId="5B9F86D8" w:rsidR="005424D7" w:rsidRDefault="005424D7" w:rsidP="00C94B6A">
      <w:pPr>
        <w:ind w:left="567" w:hanging="567"/>
      </w:pPr>
      <w:r>
        <w:t xml:space="preserve">6 </w:t>
      </w:r>
      <w:r w:rsidR="00C94B6A">
        <w:tab/>
      </w:r>
      <w:r>
        <w:t>In</w:t>
      </w:r>
      <w:r w:rsidR="00D8212E">
        <w:t xml:space="preserve"> </w:t>
      </w:r>
      <w:r>
        <w:t xml:space="preserve">Section 4, C, Renewal of Baptismal Vows, line </w:t>
      </w:r>
      <w:r w:rsidR="00D8212E">
        <w:t>3</w:t>
      </w:r>
      <w:r>
        <w:t xml:space="preserve">, remove the word ‘Confirmation’ and insert words ‘the Laying on of </w:t>
      </w:r>
      <w:r w:rsidR="00D8212E">
        <w:t>Hands</w:t>
      </w:r>
      <w:r>
        <w:t xml:space="preserve"> for </w:t>
      </w:r>
      <w:r w:rsidR="00D8212E">
        <w:t>Affirmation</w:t>
      </w:r>
      <w:r>
        <w:t xml:space="preserve"> and </w:t>
      </w:r>
      <w:r w:rsidR="00D8212E">
        <w:t>Renewal</w:t>
      </w:r>
      <w:r>
        <w:t>’.</w:t>
      </w:r>
    </w:p>
    <w:p w14:paraId="22A39442" w14:textId="1204FDC3" w:rsidR="005424D7" w:rsidRDefault="005424D7" w:rsidP="00C94B6A">
      <w:pPr>
        <w:ind w:left="567" w:hanging="567"/>
      </w:pPr>
      <w:r>
        <w:t xml:space="preserve">7 </w:t>
      </w:r>
      <w:r w:rsidR="00C94B6A">
        <w:tab/>
      </w:r>
      <w:r>
        <w:t>In</w:t>
      </w:r>
      <w:r w:rsidR="00D8212E">
        <w:t xml:space="preserve"> </w:t>
      </w:r>
      <w:r>
        <w:t xml:space="preserve">Section 4, D, </w:t>
      </w:r>
      <w:r w:rsidR="00D8212E">
        <w:t>Reception</w:t>
      </w:r>
      <w:r>
        <w:t xml:space="preserve"> from another </w:t>
      </w:r>
      <w:r w:rsidR="00D8212E">
        <w:t xml:space="preserve">Christian </w:t>
      </w:r>
      <w:r>
        <w:t xml:space="preserve">Church, line </w:t>
      </w:r>
      <w:r w:rsidR="00D8212E">
        <w:t>4</w:t>
      </w:r>
      <w:r>
        <w:t xml:space="preserve">, remove the words ‘Confirmation or reaffirm their faith in an </w:t>
      </w:r>
      <w:r w:rsidR="00D8212E">
        <w:t>act</w:t>
      </w:r>
      <w:r>
        <w:t xml:space="preserve"> of Renewal (Sections 2 and 4c, above)’ and</w:t>
      </w:r>
      <w:r w:rsidR="00D8212E">
        <w:t xml:space="preserve"> </w:t>
      </w:r>
      <w:r>
        <w:t>insert the words ‘the</w:t>
      </w:r>
      <w:r w:rsidR="00D8212E">
        <w:t xml:space="preserve"> </w:t>
      </w:r>
      <w:r>
        <w:t>Laying</w:t>
      </w:r>
      <w:r w:rsidR="00D8212E">
        <w:t xml:space="preserve"> </w:t>
      </w:r>
      <w:r>
        <w:t>on of Hands for</w:t>
      </w:r>
      <w:r w:rsidR="00D8212E">
        <w:t xml:space="preserve"> Reception</w:t>
      </w:r>
      <w:r>
        <w:t>’.</w:t>
      </w:r>
    </w:p>
    <w:p w14:paraId="787B7021" w14:textId="6487EDE4" w:rsidR="005424D7" w:rsidRDefault="005424D7" w:rsidP="00C94B6A">
      <w:pPr>
        <w:ind w:left="567" w:hanging="567"/>
      </w:pPr>
      <w:r>
        <w:t xml:space="preserve">8 </w:t>
      </w:r>
      <w:r w:rsidR="00C94B6A">
        <w:tab/>
      </w:r>
      <w:bookmarkStart w:id="0" w:name="_GoBack"/>
      <w:bookmarkEnd w:id="0"/>
      <w:r>
        <w:t>In</w:t>
      </w:r>
      <w:r w:rsidR="00D8212E">
        <w:t xml:space="preserve"> </w:t>
      </w:r>
      <w:r>
        <w:t>Section 5, Records, remove the words ‘in Confirmation’ and insert the words ‘f</w:t>
      </w:r>
      <w:r w:rsidR="00D8212E">
        <w:t>o</w:t>
      </w:r>
      <w:r>
        <w:t xml:space="preserve">r Affirmation, Renewal or </w:t>
      </w:r>
      <w:r w:rsidR="00D8212E">
        <w:t>Reception</w:t>
      </w:r>
      <w:r>
        <w:t>’.</w:t>
      </w:r>
    </w:p>
    <w:p w14:paraId="32899F1F" w14:textId="77777777" w:rsidR="00B8287A" w:rsidRDefault="00B8287A"/>
    <w:p w14:paraId="64AA28EC" w14:textId="77777777" w:rsidR="00B8287A" w:rsidRDefault="00B8287A"/>
    <w:p w14:paraId="6EF0DC91" w14:textId="77777777" w:rsidR="005424D7" w:rsidRPr="00B8287A" w:rsidRDefault="00B8287A">
      <w:pPr>
        <w:rPr>
          <w:i/>
        </w:rPr>
      </w:pPr>
      <w:r w:rsidRPr="00B8287A">
        <w:rPr>
          <w:i/>
        </w:rPr>
        <w:t>Please see next page for Existing Standing Resolution.</w:t>
      </w:r>
    </w:p>
    <w:p w14:paraId="294AAA07" w14:textId="77777777" w:rsidR="00B8287A" w:rsidRDefault="00B8287A">
      <w:pPr>
        <w:rPr>
          <w:b/>
          <w:u w:val="single"/>
        </w:rPr>
      </w:pPr>
      <w:r>
        <w:rPr>
          <w:b/>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855"/>
        <w:gridCol w:w="6374"/>
      </w:tblGrid>
      <w:tr w:rsidR="00B8287A" w:rsidRPr="00B8287A" w14:paraId="5F5B80BE" w14:textId="77777777" w:rsidTr="00B8287A">
        <w:tc>
          <w:tcPr>
            <w:tcW w:w="709" w:type="dxa"/>
          </w:tcPr>
          <w:p w14:paraId="3069920E" w14:textId="77777777" w:rsidR="00B8287A" w:rsidRPr="00B8287A" w:rsidRDefault="00B8287A" w:rsidP="007B2177">
            <w:pPr>
              <w:pStyle w:val="ListParagraph"/>
              <w:tabs>
                <w:tab w:val="left" w:pos="-720"/>
              </w:tabs>
              <w:suppressAutoHyphens/>
              <w:spacing w:after="120"/>
              <w:rPr>
                <w:rFonts w:asciiTheme="minorHAnsi" w:hAnsiTheme="minorHAnsi" w:cs="Arial"/>
                <w:spacing w:val="-3"/>
                <w:sz w:val="22"/>
                <w:szCs w:val="22"/>
                <w:lang w:val="en-US"/>
              </w:rPr>
            </w:pPr>
            <w:r>
              <w:rPr>
                <w:rFonts w:asciiTheme="minorHAnsi" w:hAnsiTheme="minorHAnsi" w:cs="Arial"/>
                <w:spacing w:val="-3"/>
                <w:sz w:val="22"/>
                <w:szCs w:val="22"/>
                <w:lang w:val="en-US"/>
              </w:rPr>
              <w:lastRenderedPageBreak/>
              <w:t>E</w:t>
            </w:r>
          </w:p>
        </w:tc>
        <w:tc>
          <w:tcPr>
            <w:tcW w:w="8080" w:type="dxa"/>
            <w:gridSpan w:val="3"/>
          </w:tcPr>
          <w:p w14:paraId="5D14EFD0" w14:textId="77777777" w:rsidR="00B8287A" w:rsidRPr="00B8287A" w:rsidRDefault="00B8287A" w:rsidP="007B2177">
            <w:pPr>
              <w:tabs>
                <w:tab w:val="center" w:pos="4514"/>
              </w:tabs>
              <w:suppressAutoHyphens/>
              <w:spacing w:after="120"/>
              <w:jc w:val="center"/>
              <w:rPr>
                <w:rFonts w:cs="Arial"/>
                <w:b/>
                <w:spacing w:val="-3"/>
                <w:lang w:val="en-US"/>
              </w:rPr>
            </w:pPr>
          </w:p>
          <w:p w14:paraId="0740D868" w14:textId="77777777" w:rsidR="00B8287A" w:rsidRPr="00B8287A" w:rsidRDefault="00B8287A" w:rsidP="007B2177">
            <w:pPr>
              <w:tabs>
                <w:tab w:val="center" w:pos="4514"/>
              </w:tabs>
              <w:suppressAutoHyphens/>
              <w:jc w:val="center"/>
              <w:rPr>
                <w:rFonts w:cs="Arial"/>
                <w:spacing w:val="-3"/>
                <w:lang w:val="en-US"/>
              </w:rPr>
            </w:pPr>
            <w:r w:rsidRPr="00B8287A">
              <w:rPr>
                <w:rFonts w:cs="Arial"/>
                <w:b/>
                <w:spacing w:val="-3"/>
                <w:lang w:val="en-US"/>
              </w:rPr>
              <w:t>SRL 4.  GUIDELINES FOR CHRISTIAN INITIATION (SR36)</w:t>
            </w:r>
          </w:p>
          <w:p w14:paraId="5DBAB917" w14:textId="77777777" w:rsidR="00B8287A" w:rsidRPr="00B8287A" w:rsidRDefault="00B8287A" w:rsidP="007B2177">
            <w:pPr>
              <w:tabs>
                <w:tab w:val="left" w:pos="-720"/>
                <w:tab w:val="left" w:pos="0"/>
              </w:tabs>
              <w:suppressAutoHyphens/>
              <w:spacing w:after="120"/>
              <w:jc w:val="center"/>
              <w:rPr>
                <w:rFonts w:cs="Arial"/>
                <w:spacing w:val="-3"/>
                <w:lang w:val="en-US"/>
              </w:rPr>
            </w:pPr>
          </w:p>
        </w:tc>
      </w:tr>
      <w:tr w:rsidR="00B8287A" w:rsidRPr="00B8287A" w14:paraId="0BB66BCB" w14:textId="77777777" w:rsidTr="00B8287A">
        <w:tc>
          <w:tcPr>
            <w:tcW w:w="8789" w:type="dxa"/>
            <w:gridSpan w:val="4"/>
          </w:tcPr>
          <w:p w14:paraId="5466ED9C"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The following Guidelines for Christian Initiation are adopted as Guidelines for Christian Initiation (1990) for this Church:</w:t>
            </w:r>
          </w:p>
        </w:tc>
      </w:tr>
      <w:tr w:rsidR="00B8287A" w:rsidRPr="00B8287A" w14:paraId="2789B6EF" w14:textId="77777777" w:rsidTr="00B8287A">
        <w:tc>
          <w:tcPr>
            <w:tcW w:w="709" w:type="dxa"/>
          </w:tcPr>
          <w:p w14:paraId="7051F05C"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r w:rsidRPr="00B8287A">
              <w:rPr>
                <w:rFonts w:asciiTheme="minorHAnsi" w:hAnsiTheme="minorHAnsi" w:cs="Arial"/>
                <w:spacing w:val="-3"/>
                <w:sz w:val="22"/>
                <w:szCs w:val="22"/>
                <w:lang w:val="en-US"/>
              </w:rPr>
              <w:t>1.</w:t>
            </w:r>
          </w:p>
        </w:tc>
        <w:tc>
          <w:tcPr>
            <w:tcW w:w="8080" w:type="dxa"/>
            <w:gridSpan w:val="3"/>
          </w:tcPr>
          <w:p w14:paraId="127EDA4F" w14:textId="77777777" w:rsidR="00B8287A" w:rsidRPr="00B8287A" w:rsidRDefault="00B8287A" w:rsidP="007B2177">
            <w:pPr>
              <w:tabs>
                <w:tab w:val="left" w:pos="-720"/>
                <w:tab w:val="left" w:pos="0"/>
              </w:tabs>
              <w:suppressAutoHyphens/>
              <w:spacing w:after="120"/>
              <w:jc w:val="both"/>
              <w:rPr>
                <w:rFonts w:cs="Arial"/>
                <w:spacing w:val="-3"/>
                <w:u w:val="single"/>
                <w:lang w:val="en-US"/>
              </w:rPr>
            </w:pPr>
            <w:r w:rsidRPr="00B8287A">
              <w:rPr>
                <w:rFonts w:cs="Arial"/>
                <w:spacing w:val="-3"/>
                <w:u w:val="single"/>
                <w:lang w:val="en-US"/>
              </w:rPr>
              <w:t>Baptism</w:t>
            </w:r>
          </w:p>
        </w:tc>
      </w:tr>
      <w:tr w:rsidR="00B8287A" w:rsidRPr="00B8287A" w14:paraId="051A224A" w14:textId="77777777" w:rsidTr="00B8287A">
        <w:tc>
          <w:tcPr>
            <w:tcW w:w="709" w:type="dxa"/>
          </w:tcPr>
          <w:p w14:paraId="693BA512"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3"/>
          </w:tcPr>
          <w:p w14:paraId="303890DC" w14:textId="77777777" w:rsidR="00B8287A" w:rsidRPr="00B8287A" w:rsidRDefault="00B8287A" w:rsidP="007B2177">
            <w:pPr>
              <w:tabs>
                <w:tab w:val="left" w:pos="-720"/>
                <w:tab w:val="left" w:pos="0"/>
                <w:tab w:val="left" w:pos="720"/>
              </w:tabs>
              <w:suppressAutoHyphens/>
              <w:spacing w:after="120"/>
              <w:jc w:val="both"/>
              <w:rPr>
                <w:rFonts w:cs="Arial"/>
                <w:spacing w:val="-3"/>
                <w:u w:val="single"/>
                <w:lang w:val="en-US"/>
              </w:rPr>
            </w:pPr>
            <w:r w:rsidRPr="00B8287A">
              <w:rPr>
                <w:rFonts w:cs="Arial"/>
                <w:spacing w:val="-3"/>
                <w:lang w:val="en-US"/>
              </w:rPr>
              <w:t xml:space="preserve">Baptism is usually administered in the context of the Eucharist or another service of congregational worship, unless there are special pastoral circumstances.  Tangihanga, </w:t>
            </w:r>
            <w:proofErr w:type="spellStart"/>
            <w:r w:rsidRPr="00B8287A">
              <w:rPr>
                <w:rFonts w:cs="Arial"/>
                <w:spacing w:val="-3"/>
                <w:lang w:val="en-US"/>
              </w:rPr>
              <w:t>hura</w:t>
            </w:r>
            <w:proofErr w:type="spellEnd"/>
            <w:r w:rsidRPr="00B8287A">
              <w:rPr>
                <w:rFonts w:cs="Arial"/>
                <w:spacing w:val="-3"/>
                <w:lang w:val="en-US"/>
              </w:rPr>
              <w:t xml:space="preserve"> </w:t>
            </w:r>
            <w:proofErr w:type="spellStart"/>
            <w:r w:rsidRPr="00B8287A">
              <w:rPr>
                <w:rFonts w:cs="Arial"/>
                <w:spacing w:val="-3"/>
                <w:lang w:val="en-US"/>
              </w:rPr>
              <w:t>kohatu</w:t>
            </w:r>
            <w:proofErr w:type="spellEnd"/>
            <w:r w:rsidRPr="00B8287A">
              <w:rPr>
                <w:rFonts w:cs="Arial"/>
                <w:spacing w:val="-3"/>
                <w:lang w:val="en-US"/>
              </w:rPr>
              <w:t xml:space="preserve">, weddings and other whānau, </w:t>
            </w:r>
            <w:proofErr w:type="spellStart"/>
            <w:r w:rsidRPr="00B8287A">
              <w:rPr>
                <w:rFonts w:cs="Arial"/>
                <w:spacing w:val="-3"/>
                <w:lang w:val="en-US"/>
              </w:rPr>
              <w:t>hapu</w:t>
            </w:r>
            <w:proofErr w:type="spellEnd"/>
            <w:r w:rsidRPr="00B8287A">
              <w:rPr>
                <w:rFonts w:cs="Arial"/>
                <w:spacing w:val="-3"/>
                <w:lang w:val="en-US"/>
              </w:rPr>
              <w:t xml:space="preserve"> or iwi events, significant festivals and other important occasions in the life of the Church, including those where the Bishop may preside, are appropriate times for Baptism.</w:t>
            </w:r>
          </w:p>
        </w:tc>
      </w:tr>
      <w:tr w:rsidR="00B8287A" w:rsidRPr="00B8287A" w14:paraId="68DF6DD3" w14:textId="77777777" w:rsidTr="00B8287A">
        <w:tc>
          <w:tcPr>
            <w:tcW w:w="709" w:type="dxa"/>
          </w:tcPr>
          <w:p w14:paraId="56A2269B"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3"/>
          </w:tcPr>
          <w:p w14:paraId="25AFEB37" w14:textId="77777777" w:rsidR="00B8287A" w:rsidRPr="00B8287A" w:rsidRDefault="00B8287A" w:rsidP="007B2177">
            <w:pPr>
              <w:tabs>
                <w:tab w:val="left" w:pos="-720"/>
                <w:tab w:val="left" w:pos="0"/>
                <w:tab w:val="left" w:pos="720"/>
              </w:tabs>
              <w:suppressAutoHyphens/>
              <w:spacing w:after="120"/>
              <w:jc w:val="both"/>
              <w:rPr>
                <w:rFonts w:cs="Arial"/>
                <w:spacing w:val="-3"/>
                <w:u w:val="single"/>
                <w:lang w:val="en-US"/>
              </w:rPr>
            </w:pPr>
            <w:r w:rsidRPr="00B8287A">
              <w:rPr>
                <w:rFonts w:cs="Arial"/>
                <w:spacing w:val="-3"/>
                <w:lang w:val="en-US"/>
              </w:rPr>
              <w:t>Adult candidates for Baptism, and the parents or guardians as well as any other godparents of younger candidates are called to participate regularly in the worshipping life of the Church.  Education in the faith, sacraments and mission of the church precedes and follows Baptism.</w:t>
            </w:r>
          </w:p>
        </w:tc>
      </w:tr>
      <w:tr w:rsidR="00B8287A" w:rsidRPr="00B8287A" w14:paraId="32AF055F" w14:textId="77777777" w:rsidTr="00B8287A">
        <w:tc>
          <w:tcPr>
            <w:tcW w:w="709" w:type="dxa"/>
          </w:tcPr>
          <w:p w14:paraId="5E85377A"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3"/>
          </w:tcPr>
          <w:p w14:paraId="37AE3EE1"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In the case of children:</w:t>
            </w:r>
          </w:p>
        </w:tc>
      </w:tr>
      <w:tr w:rsidR="00B8287A" w:rsidRPr="00B8287A" w14:paraId="459C6B9A" w14:textId="77777777" w:rsidTr="00B8287A">
        <w:tc>
          <w:tcPr>
            <w:tcW w:w="709" w:type="dxa"/>
          </w:tcPr>
          <w:p w14:paraId="7F6DD9DC"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344BD0A6"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(a)</w:t>
            </w:r>
          </w:p>
        </w:tc>
        <w:tc>
          <w:tcPr>
            <w:tcW w:w="7229" w:type="dxa"/>
            <w:gridSpan w:val="2"/>
          </w:tcPr>
          <w:p w14:paraId="5B90305E"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At least one parent or guardian will affirm Baptism for the child and may show this by becoming a godparent.  Parents or guardians as well as any other godparents undertake to bring up the child as a member of the Body of Christ, participating in the worship, education and community life of the Church.</w:t>
            </w:r>
          </w:p>
        </w:tc>
      </w:tr>
      <w:tr w:rsidR="00B8287A" w:rsidRPr="00B8287A" w14:paraId="191FDD72" w14:textId="77777777" w:rsidTr="00B8287A">
        <w:tc>
          <w:tcPr>
            <w:tcW w:w="709" w:type="dxa"/>
          </w:tcPr>
          <w:p w14:paraId="1CD8CA8A"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43DED092"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(b)</w:t>
            </w:r>
          </w:p>
        </w:tc>
        <w:tc>
          <w:tcPr>
            <w:tcW w:w="7229" w:type="dxa"/>
            <w:gridSpan w:val="2"/>
          </w:tcPr>
          <w:p w14:paraId="55F452F8"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Parents or guardians as well as any other godparents, receive education for teaching the child:</w:t>
            </w:r>
          </w:p>
        </w:tc>
      </w:tr>
      <w:tr w:rsidR="00B8287A" w:rsidRPr="00B8287A" w14:paraId="2D2B38E7" w14:textId="77777777" w:rsidTr="00B8287A">
        <w:tc>
          <w:tcPr>
            <w:tcW w:w="709" w:type="dxa"/>
          </w:tcPr>
          <w:p w14:paraId="767F20B9"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06174FE6" w14:textId="77777777" w:rsidR="00B8287A" w:rsidRPr="00B8287A" w:rsidRDefault="00B8287A" w:rsidP="007B2177">
            <w:pPr>
              <w:tabs>
                <w:tab w:val="left" w:pos="-720"/>
                <w:tab w:val="left" w:pos="0"/>
              </w:tabs>
              <w:suppressAutoHyphens/>
              <w:spacing w:after="120"/>
              <w:jc w:val="both"/>
              <w:rPr>
                <w:rFonts w:cs="Arial"/>
                <w:spacing w:val="-3"/>
                <w:lang w:val="en-US"/>
              </w:rPr>
            </w:pPr>
          </w:p>
        </w:tc>
        <w:tc>
          <w:tcPr>
            <w:tcW w:w="855" w:type="dxa"/>
          </w:tcPr>
          <w:p w14:paraId="4760D33E" w14:textId="77777777" w:rsidR="00B8287A" w:rsidRPr="00B8287A" w:rsidRDefault="00B8287A" w:rsidP="007B2177">
            <w:pPr>
              <w:tabs>
                <w:tab w:val="left" w:pos="-720"/>
                <w:tab w:val="left" w:pos="0"/>
              </w:tabs>
              <w:suppressAutoHyphens/>
              <w:spacing w:after="120"/>
              <w:jc w:val="both"/>
              <w:rPr>
                <w:rFonts w:cs="Arial"/>
                <w:spacing w:val="-3"/>
                <w:lang w:val="en-US"/>
              </w:rPr>
            </w:pPr>
            <w:proofErr w:type="spellStart"/>
            <w:r w:rsidRPr="00B8287A">
              <w:rPr>
                <w:rFonts w:cs="Arial"/>
                <w:spacing w:val="-3"/>
                <w:lang w:val="en-US"/>
              </w:rPr>
              <w:t>i</w:t>
            </w:r>
            <w:proofErr w:type="spellEnd"/>
            <w:r w:rsidRPr="00B8287A">
              <w:rPr>
                <w:rFonts w:cs="Arial"/>
                <w:spacing w:val="-3"/>
                <w:lang w:val="en-US"/>
              </w:rPr>
              <w:t>)</w:t>
            </w:r>
          </w:p>
        </w:tc>
        <w:tc>
          <w:tcPr>
            <w:tcW w:w="6374" w:type="dxa"/>
          </w:tcPr>
          <w:p w14:paraId="6894BD33"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The Lord's Prayer and how to pray</w:t>
            </w:r>
          </w:p>
        </w:tc>
      </w:tr>
      <w:tr w:rsidR="00B8287A" w:rsidRPr="00B8287A" w14:paraId="1ADC0107" w14:textId="77777777" w:rsidTr="00B8287A">
        <w:tc>
          <w:tcPr>
            <w:tcW w:w="709" w:type="dxa"/>
          </w:tcPr>
          <w:p w14:paraId="6E32B48E"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2A45A618" w14:textId="77777777" w:rsidR="00B8287A" w:rsidRPr="00B8287A" w:rsidRDefault="00B8287A" w:rsidP="007B2177">
            <w:pPr>
              <w:tabs>
                <w:tab w:val="left" w:pos="-720"/>
                <w:tab w:val="left" w:pos="0"/>
              </w:tabs>
              <w:suppressAutoHyphens/>
              <w:spacing w:after="120"/>
              <w:jc w:val="both"/>
              <w:rPr>
                <w:rFonts w:cs="Arial"/>
                <w:spacing w:val="-3"/>
                <w:lang w:val="en-US"/>
              </w:rPr>
            </w:pPr>
          </w:p>
        </w:tc>
        <w:tc>
          <w:tcPr>
            <w:tcW w:w="855" w:type="dxa"/>
          </w:tcPr>
          <w:p w14:paraId="4D01BFF5"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ii)</w:t>
            </w:r>
          </w:p>
        </w:tc>
        <w:tc>
          <w:tcPr>
            <w:tcW w:w="6374" w:type="dxa"/>
          </w:tcPr>
          <w:p w14:paraId="572E00A8" w14:textId="77777777" w:rsidR="00B8287A" w:rsidRPr="00B8287A" w:rsidRDefault="00B8287A" w:rsidP="007B2177">
            <w:pPr>
              <w:tabs>
                <w:tab w:val="left" w:pos="-720"/>
                <w:tab w:val="left" w:pos="0"/>
                <w:tab w:val="left" w:pos="720"/>
                <w:tab w:val="left" w:pos="1440"/>
                <w:tab w:val="left" w:pos="2160"/>
              </w:tabs>
              <w:suppressAutoHyphens/>
              <w:spacing w:after="120"/>
              <w:jc w:val="both"/>
              <w:rPr>
                <w:rFonts w:cs="Arial"/>
                <w:spacing w:val="-3"/>
                <w:lang w:val="en-US"/>
              </w:rPr>
            </w:pPr>
            <w:r w:rsidRPr="00B8287A">
              <w:rPr>
                <w:rFonts w:cs="Arial"/>
                <w:spacing w:val="-3"/>
                <w:lang w:val="en-US"/>
              </w:rPr>
              <w:t>The Creeds and the faith of the church</w:t>
            </w:r>
          </w:p>
        </w:tc>
      </w:tr>
      <w:tr w:rsidR="00B8287A" w:rsidRPr="00B8287A" w14:paraId="0B83B2C1" w14:textId="77777777" w:rsidTr="00B8287A">
        <w:tc>
          <w:tcPr>
            <w:tcW w:w="709" w:type="dxa"/>
          </w:tcPr>
          <w:p w14:paraId="052034C6"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3F95517E" w14:textId="77777777" w:rsidR="00B8287A" w:rsidRPr="00B8287A" w:rsidRDefault="00B8287A" w:rsidP="007B2177">
            <w:pPr>
              <w:tabs>
                <w:tab w:val="left" w:pos="-720"/>
                <w:tab w:val="left" w:pos="0"/>
              </w:tabs>
              <w:suppressAutoHyphens/>
              <w:spacing w:after="120"/>
              <w:jc w:val="both"/>
              <w:rPr>
                <w:rFonts w:cs="Arial"/>
                <w:spacing w:val="-3"/>
                <w:lang w:val="en-US"/>
              </w:rPr>
            </w:pPr>
          </w:p>
        </w:tc>
        <w:tc>
          <w:tcPr>
            <w:tcW w:w="855" w:type="dxa"/>
          </w:tcPr>
          <w:p w14:paraId="5E642623"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iii)</w:t>
            </w:r>
          </w:p>
        </w:tc>
        <w:tc>
          <w:tcPr>
            <w:tcW w:w="6374" w:type="dxa"/>
          </w:tcPr>
          <w:p w14:paraId="431804FA" w14:textId="77777777" w:rsidR="00B8287A" w:rsidRPr="00B8287A" w:rsidRDefault="00B8287A" w:rsidP="007B2177">
            <w:pPr>
              <w:tabs>
                <w:tab w:val="left" w:pos="-720"/>
                <w:tab w:val="left" w:pos="0"/>
                <w:tab w:val="left" w:pos="720"/>
                <w:tab w:val="left" w:pos="1440"/>
                <w:tab w:val="left" w:pos="2160"/>
              </w:tabs>
              <w:suppressAutoHyphens/>
              <w:spacing w:after="120"/>
              <w:jc w:val="both"/>
              <w:rPr>
                <w:rFonts w:cs="Arial"/>
                <w:spacing w:val="-3"/>
                <w:lang w:val="en-US"/>
              </w:rPr>
            </w:pPr>
            <w:r w:rsidRPr="00B8287A">
              <w:rPr>
                <w:rFonts w:cs="Arial"/>
                <w:spacing w:val="-3"/>
                <w:lang w:val="en-US"/>
              </w:rPr>
              <w:t>The Commandments and how to obey the teaching of Christ</w:t>
            </w:r>
          </w:p>
        </w:tc>
      </w:tr>
      <w:tr w:rsidR="00B8287A" w:rsidRPr="00B8287A" w14:paraId="472AAAD2" w14:textId="77777777" w:rsidTr="00B8287A">
        <w:tc>
          <w:tcPr>
            <w:tcW w:w="709" w:type="dxa"/>
          </w:tcPr>
          <w:p w14:paraId="566D57F9"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3BD4DEB3" w14:textId="77777777" w:rsidR="00B8287A" w:rsidRPr="00B8287A" w:rsidRDefault="00B8287A" w:rsidP="007B2177">
            <w:pPr>
              <w:tabs>
                <w:tab w:val="left" w:pos="-720"/>
                <w:tab w:val="left" w:pos="0"/>
              </w:tabs>
              <w:suppressAutoHyphens/>
              <w:spacing w:after="120"/>
              <w:jc w:val="both"/>
              <w:rPr>
                <w:rFonts w:cs="Arial"/>
                <w:spacing w:val="-3"/>
                <w:lang w:val="en-US"/>
              </w:rPr>
            </w:pPr>
          </w:p>
        </w:tc>
        <w:tc>
          <w:tcPr>
            <w:tcW w:w="855" w:type="dxa"/>
          </w:tcPr>
          <w:p w14:paraId="70703A70"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iv)</w:t>
            </w:r>
          </w:p>
        </w:tc>
        <w:tc>
          <w:tcPr>
            <w:tcW w:w="6374" w:type="dxa"/>
          </w:tcPr>
          <w:p w14:paraId="1C7ECA7C" w14:textId="77777777" w:rsidR="00B8287A" w:rsidRPr="00B8287A" w:rsidRDefault="00B8287A" w:rsidP="007B2177">
            <w:pPr>
              <w:tabs>
                <w:tab w:val="left" w:pos="-720"/>
                <w:tab w:val="left" w:pos="0"/>
                <w:tab w:val="left" w:pos="720"/>
                <w:tab w:val="left" w:pos="1440"/>
                <w:tab w:val="left" w:pos="2160"/>
              </w:tabs>
              <w:suppressAutoHyphens/>
              <w:spacing w:after="120"/>
              <w:jc w:val="both"/>
              <w:rPr>
                <w:rFonts w:cs="Arial"/>
                <w:spacing w:val="-3"/>
                <w:lang w:val="en-US"/>
              </w:rPr>
            </w:pPr>
            <w:r w:rsidRPr="00B8287A">
              <w:rPr>
                <w:rFonts w:cs="Arial"/>
                <w:spacing w:val="-3"/>
                <w:lang w:val="en-US"/>
              </w:rPr>
              <w:t>How to read the Scriptures to discover the Word of God</w:t>
            </w:r>
          </w:p>
        </w:tc>
      </w:tr>
      <w:tr w:rsidR="00B8287A" w:rsidRPr="00B8287A" w14:paraId="23C346C3" w14:textId="77777777" w:rsidTr="00B8287A">
        <w:tc>
          <w:tcPr>
            <w:tcW w:w="709" w:type="dxa"/>
          </w:tcPr>
          <w:p w14:paraId="4AE827D5"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474D05A6" w14:textId="77777777" w:rsidR="00B8287A" w:rsidRPr="00B8287A" w:rsidRDefault="00B8287A" w:rsidP="007B2177">
            <w:pPr>
              <w:tabs>
                <w:tab w:val="left" w:pos="-720"/>
                <w:tab w:val="left" w:pos="0"/>
              </w:tabs>
              <w:suppressAutoHyphens/>
              <w:spacing w:after="120"/>
              <w:jc w:val="both"/>
              <w:rPr>
                <w:rFonts w:cs="Arial"/>
                <w:spacing w:val="-3"/>
                <w:lang w:val="en-US"/>
              </w:rPr>
            </w:pPr>
          </w:p>
        </w:tc>
        <w:tc>
          <w:tcPr>
            <w:tcW w:w="855" w:type="dxa"/>
          </w:tcPr>
          <w:p w14:paraId="70DE8107"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v)</w:t>
            </w:r>
          </w:p>
        </w:tc>
        <w:tc>
          <w:tcPr>
            <w:tcW w:w="6374" w:type="dxa"/>
          </w:tcPr>
          <w:p w14:paraId="2308CD93" w14:textId="77777777" w:rsidR="00B8287A" w:rsidRPr="00B8287A" w:rsidRDefault="00B8287A" w:rsidP="007B2177">
            <w:pPr>
              <w:tabs>
                <w:tab w:val="left" w:pos="-720"/>
                <w:tab w:val="left" w:pos="0"/>
                <w:tab w:val="left" w:pos="720"/>
                <w:tab w:val="left" w:pos="1440"/>
              </w:tabs>
              <w:suppressAutoHyphens/>
              <w:spacing w:after="120"/>
              <w:ind w:left="29" w:hanging="29"/>
              <w:jc w:val="both"/>
              <w:rPr>
                <w:rFonts w:cs="Arial"/>
                <w:spacing w:val="-3"/>
                <w:lang w:val="en-US"/>
              </w:rPr>
            </w:pPr>
            <w:r w:rsidRPr="00B8287A">
              <w:rPr>
                <w:rFonts w:cs="Arial"/>
                <w:spacing w:val="-3"/>
                <w:lang w:val="en-US"/>
              </w:rPr>
              <w:t>Parents or guardians as well as any other godparent are also to encourage the child to take his / her place in the eucharistic community, to make a commitment to Christ, and in Confirmation to receive, in the Laying on of Hands, the strengthening power of the Holy Spirit for witness and service.</w:t>
            </w:r>
          </w:p>
        </w:tc>
      </w:tr>
      <w:tr w:rsidR="00B8287A" w:rsidRPr="00B8287A" w14:paraId="1716FA18" w14:textId="77777777" w:rsidTr="00B8287A">
        <w:tc>
          <w:tcPr>
            <w:tcW w:w="709" w:type="dxa"/>
          </w:tcPr>
          <w:p w14:paraId="157E6FD3"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r w:rsidRPr="00B8287A">
              <w:rPr>
                <w:rFonts w:asciiTheme="minorHAnsi" w:hAnsiTheme="minorHAnsi" w:cs="Arial"/>
                <w:spacing w:val="-3"/>
                <w:sz w:val="22"/>
                <w:szCs w:val="22"/>
                <w:lang w:val="en-US"/>
              </w:rPr>
              <w:t>2.</w:t>
            </w:r>
          </w:p>
        </w:tc>
        <w:tc>
          <w:tcPr>
            <w:tcW w:w="8080" w:type="dxa"/>
            <w:gridSpan w:val="3"/>
          </w:tcPr>
          <w:p w14:paraId="2E94A1FC" w14:textId="77777777" w:rsidR="00B8287A" w:rsidRPr="00B8287A" w:rsidRDefault="00B8287A" w:rsidP="007B2177">
            <w:pPr>
              <w:tabs>
                <w:tab w:val="left" w:pos="-720"/>
                <w:tab w:val="left" w:pos="0"/>
                <w:tab w:val="left" w:pos="720"/>
                <w:tab w:val="left" w:pos="1440"/>
              </w:tabs>
              <w:suppressAutoHyphens/>
              <w:spacing w:after="120"/>
              <w:ind w:left="29" w:hanging="29"/>
              <w:jc w:val="both"/>
              <w:rPr>
                <w:rFonts w:cs="Arial"/>
                <w:spacing w:val="-3"/>
                <w:u w:val="single"/>
                <w:lang w:val="en-US"/>
              </w:rPr>
            </w:pPr>
            <w:r w:rsidRPr="00B8287A">
              <w:rPr>
                <w:rFonts w:cs="Arial"/>
                <w:spacing w:val="-3"/>
                <w:u w:val="single"/>
                <w:lang w:val="en-US"/>
              </w:rPr>
              <w:t>Laying on of Hands for Confirmation</w:t>
            </w:r>
          </w:p>
        </w:tc>
      </w:tr>
      <w:tr w:rsidR="00B8287A" w:rsidRPr="00B8287A" w14:paraId="62E4168F" w14:textId="77777777" w:rsidTr="00B8287A">
        <w:tc>
          <w:tcPr>
            <w:tcW w:w="709" w:type="dxa"/>
          </w:tcPr>
          <w:p w14:paraId="67853160"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7BC414BA"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(a)</w:t>
            </w:r>
          </w:p>
        </w:tc>
        <w:tc>
          <w:tcPr>
            <w:tcW w:w="7229" w:type="dxa"/>
            <w:gridSpan w:val="2"/>
          </w:tcPr>
          <w:p w14:paraId="2C5C1025"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Candidates will have been helped to explore and understand the faith of their Baptism, and their calling as disciples.</w:t>
            </w:r>
          </w:p>
        </w:tc>
      </w:tr>
      <w:tr w:rsidR="00B8287A" w:rsidRPr="00B8287A" w14:paraId="1D7AD932" w14:textId="77777777" w:rsidTr="00B8287A">
        <w:tc>
          <w:tcPr>
            <w:tcW w:w="709" w:type="dxa"/>
          </w:tcPr>
          <w:p w14:paraId="634251DA"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024AF33D"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(b)</w:t>
            </w:r>
          </w:p>
        </w:tc>
        <w:tc>
          <w:tcPr>
            <w:tcW w:w="7229" w:type="dxa"/>
            <w:gridSpan w:val="2"/>
          </w:tcPr>
          <w:p w14:paraId="106212E0"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Candidates will affirm their faith in Christ and be strengthened for ministry as responsible Christians in the world by the Laying on of Hands and prayer.</w:t>
            </w:r>
          </w:p>
        </w:tc>
      </w:tr>
      <w:tr w:rsidR="00B8287A" w:rsidRPr="00B8287A" w14:paraId="5A492BD8" w14:textId="77777777" w:rsidTr="00B8287A">
        <w:tc>
          <w:tcPr>
            <w:tcW w:w="709" w:type="dxa"/>
          </w:tcPr>
          <w:p w14:paraId="0CEB1807"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3205753F"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(c)</w:t>
            </w:r>
          </w:p>
        </w:tc>
        <w:tc>
          <w:tcPr>
            <w:tcW w:w="7229" w:type="dxa"/>
            <w:gridSpan w:val="2"/>
          </w:tcPr>
          <w:p w14:paraId="166FCE47"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The rite of Confirmation is an occasion for reaffirmation of Christian faith and commitment to service by the whole congregation.</w:t>
            </w:r>
          </w:p>
        </w:tc>
      </w:tr>
      <w:tr w:rsidR="00B8287A" w:rsidRPr="00B8287A" w14:paraId="0C790B06" w14:textId="77777777" w:rsidTr="00B8287A">
        <w:tc>
          <w:tcPr>
            <w:tcW w:w="709" w:type="dxa"/>
          </w:tcPr>
          <w:p w14:paraId="4423E432"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2FF62D21" w14:textId="77777777" w:rsidR="00B8287A" w:rsidRPr="00B8287A" w:rsidRDefault="00B8287A" w:rsidP="007B2177">
            <w:pPr>
              <w:tabs>
                <w:tab w:val="left" w:pos="-720"/>
                <w:tab w:val="left" w:pos="0"/>
              </w:tabs>
              <w:suppressAutoHyphens/>
              <w:spacing w:after="120"/>
              <w:jc w:val="both"/>
              <w:rPr>
                <w:rFonts w:cs="Arial"/>
                <w:spacing w:val="-3"/>
                <w:lang w:val="en-US"/>
              </w:rPr>
            </w:pPr>
            <w:r w:rsidRPr="00B8287A">
              <w:rPr>
                <w:rFonts w:cs="Arial"/>
                <w:spacing w:val="-3"/>
                <w:lang w:val="en-US"/>
              </w:rPr>
              <w:t>(d)</w:t>
            </w:r>
          </w:p>
        </w:tc>
        <w:tc>
          <w:tcPr>
            <w:tcW w:w="7229" w:type="dxa"/>
            <w:gridSpan w:val="2"/>
          </w:tcPr>
          <w:p w14:paraId="122E1219"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The Bishop shall be the minister of Confirmation.</w:t>
            </w:r>
          </w:p>
        </w:tc>
      </w:tr>
    </w:tbl>
    <w:p w14:paraId="1AA892AA" w14:textId="77777777" w:rsidR="00B8287A" w:rsidRPr="00B8287A" w:rsidRDefault="00B8287A">
      <w:r w:rsidRPr="00B8287A">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51"/>
        <w:gridCol w:w="7229"/>
      </w:tblGrid>
      <w:tr w:rsidR="00B8287A" w:rsidRPr="00B8287A" w14:paraId="3D5A66A9" w14:textId="77777777" w:rsidTr="00B8287A">
        <w:tc>
          <w:tcPr>
            <w:tcW w:w="709" w:type="dxa"/>
          </w:tcPr>
          <w:p w14:paraId="500F410C"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r w:rsidRPr="00B8287A">
              <w:rPr>
                <w:rFonts w:asciiTheme="minorHAnsi" w:hAnsiTheme="minorHAnsi" w:cs="Arial"/>
                <w:spacing w:val="-3"/>
                <w:sz w:val="22"/>
                <w:szCs w:val="22"/>
                <w:lang w:val="en-US"/>
              </w:rPr>
              <w:lastRenderedPageBreak/>
              <w:t>3.</w:t>
            </w:r>
          </w:p>
        </w:tc>
        <w:tc>
          <w:tcPr>
            <w:tcW w:w="8080" w:type="dxa"/>
            <w:gridSpan w:val="2"/>
          </w:tcPr>
          <w:p w14:paraId="743F5986"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Eucharist</w:t>
            </w:r>
          </w:p>
        </w:tc>
      </w:tr>
      <w:tr w:rsidR="00B8287A" w:rsidRPr="00B8287A" w14:paraId="7B1E644B" w14:textId="77777777" w:rsidTr="00B8287A">
        <w:tc>
          <w:tcPr>
            <w:tcW w:w="709" w:type="dxa"/>
          </w:tcPr>
          <w:p w14:paraId="50213A55"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2"/>
          </w:tcPr>
          <w:p w14:paraId="25C7C006"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The sacramental means of entry and incorporation into the Body of Christ occurs through Baptism.  The Eucharist is the sacramental means by which members of the Body are sustained and nurtured in that community and is the central act of worship in the Christian Church.  Baptism confers full membership of the Church, and therefore provides the ground for admission to the holy communion.  All may therefore receive communion from the time of their Baptism irrespective of age.</w:t>
            </w:r>
          </w:p>
        </w:tc>
      </w:tr>
      <w:tr w:rsidR="00B8287A" w:rsidRPr="00B8287A" w14:paraId="0D9CB8AD" w14:textId="77777777" w:rsidTr="00B8287A">
        <w:tc>
          <w:tcPr>
            <w:tcW w:w="709" w:type="dxa"/>
          </w:tcPr>
          <w:p w14:paraId="57FA8156"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2"/>
          </w:tcPr>
          <w:p w14:paraId="4040B641" w14:textId="77777777" w:rsidR="00B8287A" w:rsidRPr="00B8287A" w:rsidRDefault="00B8287A" w:rsidP="007B2177">
            <w:pPr>
              <w:tabs>
                <w:tab w:val="left" w:pos="-720"/>
                <w:tab w:val="left" w:pos="0"/>
              </w:tabs>
              <w:suppressAutoHyphens/>
              <w:spacing w:after="120"/>
              <w:ind w:left="24" w:hanging="24"/>
              <w:jc w:val="both"/>
              <w:rPr>
                <w:rFonts w:cs="Arial"/>
                <w:spacing w:val="-3"/>
                <w:lang w:val="en-US"/>
              </w:rPr>
            </w:pPr>
            <w:r w:rsidRPr="00B8287A">
              <w:rPr>
                <w:rFonts w:cs="Arial"/>
                <w:spacing w:val="-3"/>
                <w:lang w:val="en-US"/>
              </w:rPr>
              <w:t>Variations in pastoral practice in relation to admission to the communion may be found, but those once admitted (whether at Baptism, or when judged pastorally appropriate by priest and family, or at a special service after more formal instruction, or after receiving Laying on of Hands for Confirmation), are welcome to receive communion in any parish in this Church.</w:t>
            </w:r>
          </w:p>
        </w:tc>
      </w:tr>
      <w:tr w:rsidR="00B8287A" w:rsidRPr="00B8287A" w14:paraId="146CDF96" w14:textId="77777777" w:rsidTr="00B8287A">
        <w:tc>
          <w:tcPr>
            <w:tcW w:w="709" w:type="dxa"/>
          </w:tcPr>
          <w:p w14:paraId="50658F40"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2"/>
          </w:tcPr>
          <w:p w14:paraId="63357240"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A process of education is essential in developing an awareness and understanding of the meaning of the Eucharist.  Teaching on the Eucharist should be made widely available.</w:t>
            </w:r>
          </w:p>
        </w:tc>
      </w:tr>
      <w:tr w:rsidR="00B8287A" w:rsidRPr="00B8287A" w14:paraId="354F4737" w14:textId="77777777" w:rsidTr="00B8287A">
        <w:tc>
          <w:tcPr>
            <w:tcW w:w="709" w:type="dxa"/>
          </w:tcPr>
          <w:p w14:paraId="2FCA4B45"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r w:rsidRPr="00B8287A">
              <w:rPr>
                <w:rFonts w:asciiTheme="minorHAnsi" w:hAnsiTheme="minorHAnsi" w:cs="Arial"/>
                <w:spacing w:val="-3"/>
                <w:sz w:val="22"/>
                <w:szCs w:val="22"/>
                <w:lang w:val="en-US"/>
              </w:rPr>
              <w:t>4.</w:t>
            </w:r>
          </w:p>
        </w:tc>
        <w:tc>
          <w:tcPr>
            <w:tcW w:w="8080" w:type="dxa"/>
            <w:gridSpan w:val="2"/>
          </w:tcPr>
          <w:p w14:paraId="7EB65E5E"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Pastoral Rites</w:t>
            </w:r>
          </w:p>
        </w:tc>
      </w:tr>
      <w:tr w:rsidR="00B8287A" w:rsidRPr="00B8287A" w14:paraId="70A6C6C0" w14:textId="77777777" w:rsidTr="00B8287A">
        <w:tc>
          <w:tcPr>
            <w:tcW w:w="709" w:type="dxa"/>
          </w:tcPr>
          <w:p w14:paraId="3D6BE79E"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6FA15BAE"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A.</w:t>
            </w:r>
          </w:p>
        </w:tc>
        <w:tc>
          <w:tcPr>
            <w:tcW w:w="7229" w:type="dxa"/>
            <w:tcBorders>
              <w:left w:val="nil"/>
            </w:tcBorders>
          </w:tcPr>
          <w:p w14:paraId="1C4726C3"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Thanksgiving for the gift of a child</w:t>
            </w:r>
          </w:p>
        </w:tc>
      </w:tr>
      <w:tr w:rsidR="00B8287A" w:rsidRPr="00B8287A" w14:paraId="0454A93C" w14:textId="77777777" w:rsidTr="00B8287A">
        <w:tc>
          <w:tcPr>
            <w:tcW w:w="709" w:type="dxa"/>
          </w:tcPr>
          <w:p w14:paraId="4923B1A1"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79624D52"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p>
        </w:tc>
        <w:tc>
          <w:tcPr>
            <w:tcW w:w="7229" w:type="dxa"/>
            <w:tcBorders>
              <w:left w:val="nil"/>
            </w:tcBorders>
          </w:tcPr>
          <w:p w14:paraId="4B3D28D7"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lang w:val="en-US"/>
              </w:rPr>
              <w:t xml:space="preserve">Encouragement is to be given to the use of this service whether or not the parents and families wish to have the child </w:t>
            </w:r>
            <w:proofErr w:type="spellStart"/>
            <w:r w:rsidRPr="00B8287A">
              <w:rPr>
                <w:rFonts w:cs="Arial"/>
                <w:spacing w:val="-3"/>
                <w:lang w:val="en-US"/>
              </w:rPr>
              <w:t>baptised</w:t>
            </w:r>
            <w:proofErr w:type="spellEnd"/>
            <w:r w:rsidRPr="00B8287A">
              <w:rPr>
                <w:rFonts w:cs="Arial"/>
                <w:spacing w:val="-3"/>
                <w:lang w:val="en-US"/>
              </w:rPr>
              <w:t>.  "This service provides an opportunity for parents and families to give thanks for the birth or adoption of a child and to offer prayer for family life.  It may take place in the home, the hospital, in church, or some other suitable setting as soon as convenient after the birth or adoption of a child".  This may be an opportunity to give encouragement in Christian parenting.</w:t>
            </w:r>
          </w:p>
        </w:tc>
      </w:tr>
      <w:tr w:rsidR="00B8287A" w:rsidRPr="00B8287A" w14:paraId="62C1FA8B" w14:textId="77777777" w:rsidTr="00B8287A">
        <w:tc>
          <w:tcPr>
            <w:tcW w:w="709" w:type="dxa"/>
          </w:tcPr>
          <w:p w14:paraId="3EED1034"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27937794"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B.</w:t>
            </w:r>
          </w:p>
        </w:tc>
        <w:tc>
          <w:tcPr>
            <w:tcW w:w="7229" w:type="dxa"/>
            <w:tcBorders>
              <w:left w:val="nil"/>
            </w:tcBorders>
          </w:tcPr>
          <w:p w14:paraId="5F5F36B1"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Rites Marking Spiritual Growth</w:t>
            </w:r>
          </w:p>
        </w:tc>
      </w:tr>
      <w:tr w:rsidR="00B8287A" w:rsidRPr="00B8287A" w14:paraId="464CE460" w14:textId="77777777" w:rsidTr="00B8287A">
        <w:tc>
          <w:tcPr>
            <w:tcW w:w="709" w:type="dxa"/>
          </w:tcPr>
          <w:p w14:paraId="46B582F5"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3C6DD063"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p>
        </w:tc>
        <w:tc>
          <w:tcPr>
            <w:tcW w:w="7229" w:type="dxa"/>
            <w:tcBorders>
              <w:left w:val="nil"/>
            </w:tcBorders>
          </w:tcPr>
          <w:p w14:paraId="5BE04892"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proofErr w:type="spellStart"/>
            <w:r w:rsidRPr="00B8287A">
              <w:rPr>
                <w:rFonts w:cs="Arial"/>
                <w:spacing w:val="-3"/>
                <w:lang w:val="en-US"/>
              </w:rPr>
              <w:t>Authorised</w:t>
            </w:r>
            <w:proofErr w:type="spellEnd"/>
            <w:r w:rsidRPr="00B8287A">
              <w:rPr>
                <w:rFonts w:cs="Arial"/>
                <w:spacing w:val="-3"/>
                <w:lang w:val="en-US"/>
              </w:rPr>
              <w:t xml:space="preserve"> rites marking stages of growth in spiritual awareness and understanding of faith may take place preceding and / or following education </w:t>
            </w:r>
            <w:proofErr w:type="spellStart"/>
            <w:r w:rsidRPr="00B8287A">
              <w:rPr>
                <w:rFonts w:cs="Arial"/>
                <w:spacing w:val="-3"/>
                <w:lang w:val="en-US"/>
              </w:rPr>
              <w:t>programmes</w:t>
            </w:r>
            <w:proofErr w:type="spellEnd"/>
            <w:r w:rsidRPr="00B8287A">
              <w:rPr>
                <w:rFonts w:cs="Arial"/>
                <w:spacing w:val="-3"/>
                <w:lang w:val="en-US"/>
              </w:rPr>
              <w:t>.  Parents or guardians as well as any other godparents are encouraged to be involved in the education of the young person.</w:t>
            </w:r>
          </w:p>
        </w:tc>
      </w:tr>
      <w:tr w:rsidR="00B8287A" w:rsidRPr="00B8287A" w14:paraId="5D92E2C5" w14:textId="77777777" w:rsidTr="00B8287A">
        <w:tc>
          <w:tcPr>
            <w:tcW w:w="709" w:type="dxa"/>
          </w:tcPr>
          <w:p w14:paraId="0EE220D4"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1412125A"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C.</w:t>
            </w:r>
          </w:p>
        </w:tc>
        <w:tc>
          <w:tcPr>
            <w:tcW w:w="7229" w:type="dxa"/>
            <w:tcBorders>
              <w:left w:val="nil"/>
            </w:tcBorders>
          </w:tcPr>
          <w:p w14:paraId="1456B60E"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Renewal of Baptism Vows</w:t>
            </w:r>
          </w:p>
        </w:tc>
      </w:tr>
      <w:tr w:rsidR="00B8287A" w:rsidRPr="00B8287A" w14:paraId="0A4E3FE3" w14:textId="77777777" w:rsidTr="00B8287A">
        <w:tc>
          <w:tcPr>
            <w:tcW w:w="709" w:type="dxa"/>
          </w:tcPr>
          <w:p w14:paraId="6712756F"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4A30034F"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p>
        </w:tc>
        <w:tc>
          <w:tcPr>
            <w:tcW w:w="7229" w:type="dxa"/>
            <w:tcBorders>
              <w:left w:val="nil"/>
            </w:tcBorders>
          </w:tcPr>
          <w:p w14:paraId="2EFBBB54"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lang w:val="en-US"/>
              </w:rPr>
              <w:t>Individuals ready to make a new beginning in Christian faith and ministry may renew their Baptism vows and receive the Laying on of Hands with prayer.  The rite of Confirmation and significant festivals are appropriate times for renewal.</w:t>
            </w:r>
          </w:p>
        </w:tc>
      </w:tr>
      <w:tr w:rsidR="00B8287A" w:rsidRPr="00B8287A" w14:paraId="53AF4DE2" w14:textId="77777777" w:rsidTr="00B8287A">
        <w:tc>
          <w:tcPr>
            <w:tcW w:w="709" w:type="dxa"/>
          </w:tcPr>
          <w:p w14:paraId="76F5AE0B"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4A22E03F"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r w:rsidRPr="00B8287A">
              <w:rPr>
                <w:rFonts w:cs="Arial"/>
                <w:spacing w:val="-3"/>
                <w:lang w:val="en-US"/>
              </w:rPr>
              <w:t>D.</w:t>
            </w:r>
          </w:p>
        </w:tc>
        <w:tc>
          <w:tcPr>
            <w:tcW w:w="7229" w:type="dxa"/>
            <w:tcBorders>
              <w:left w:val="nil"/>
            </w:tcBorders>
          </w:tcPr>
          <w:p w14:paraId="37019B4B"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Reception from another Christian Church</w:t>
            </w:r>
          </w:p>
        </w:tc>
      </w:tr>
      <w:tr w:rsidR="00B8287A" w:rsidRPr="00B8287A" w14:paraId="0569C48D" w14:textId="77777777" w:rsidTr="00B8287A">
        <w:tc>
          <w:tcPr>
            <w:tcW w:w="709" w:type="dxa"/>
          </w:tcPr>
          <w:p w14:paraId="074BB571"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51" w:type="dxa"/>
          </w:tcPr>
          <w:p w14:paraId="7E7C5776"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lang w:val="en-US"/>
              </w:rPr>
            </w:pPr>
          </w:p>
        </w:tc>
        <w:tc>
          <w:tcPr>
            <w:tcW w:w="7229" w:type="dxa"/>
            <w:tcBorders>
              <w:left w:val="nil"/>
            </w:tcBorders>
          </w:tcPr>
          <w:p w14:paraId="0334388A"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lang w:val="en-US"/>
              </w:rPr>
              <w:t>Individuals ready to make a new beginning in Christian faith and ministry may renew their Baptism vows and receive the Laying on of Hands with prayer.  The rite of Confirmation and significant festivals are appropriate times for renewal.</w:t>
            </w:r>
          </w:p>
        </w:tc>
      </w:tr>
      <w:tr w:rsidR="00B8287A" w:rsidRPr="00B8287A" w14:paraId="3ACB9589" w14:textId="77777777" w:rsidTr="00B8287A">
        <w:tc>
          <w:tcPr>
            <w:tcW w:w="709" w:type="dxa"/>
          </w:tcPr>
          <w:p w14:paraId="45A61477"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r w:rsidRPr="00B8287A">
              <w:rPr>
                <w:rFonts w:asciiTheme="minorHAnsi" w:hAnsiTheme="minorHAnsi" w:cs="Arial"/>
                <w:spacing w:val="-3"/>
                <w:sz w:val="22"/>
                <w:szCs w:val="22"/>
                <w:lang w:val="en-US"/>
              </w:rPr>
              <w:t>5.</w:t>
            </w:r>
          </w:p>
        </w:tc>
        <w:tc>
          <w:tcPr>
            <w:tcW w:w="8080" w:type="dxa"/>
            <w:gridSpan w:val="2"/>
          </w:tcPr>
          <w:p w14:paraId="0F6BEF64" w14:textId="77777777" w:rsidR="00B8287A" w:rsidRPr="00B8287A" w:rsidRDefault="00B8287A" w:rsidP="007B2177">
            <w:pPr>
              <w:tabs>
                <w:tab w:val="left" w:pos="-720"/>
                <w:tab w:val="left" w:pos="0"/>
                <w:tab w:val="left" w:pos="720"/>
                <w:tab w:val="left" w:pos="1440"/>
              </w:tabs>
              <w:suppressAutoHyphens/>
              <w:spacing w:after="120"/>
              <w:jc w:val="both"/>
              <w:rPr>
                <w:rFonts w:cs="Arial"/>
                <w:spacing w:val="-3"/>
                <w:u w:val="single"/>
                <w:lang w:val="en-US"/>
              </w:rPr>
            </w:pPr>
            <w:r w:rsidRPr="00B8287A">
              <w:rPr>
                <w:rFonts w:cs="Arial"/>
                <w:spacing w:val="-3"/>
                <w:u w:val="single"/>
                <w:lang w:val="en-US"/>
              </w:rPr>
              <w:t>Records</w:t>
            </w:r>
          </w:p>
        </w:tc>
      </w:tr>
      <w:tr w:rsidR="00B8287A" w:rsidRPr="00B8287A" w14:paraId="2AA80C51" w14:textId="77777777" w:rsidTr="00B8287A">
        <w:tc>
          <w:tcPr>
            <w:tcW w:w="709" w:type="dxa"/>
          </w:tcPr>
          <w:p w14:paraId="2F348A2D" w14:textId="77777777" w:rsidR="00B8287A" w:rsidRPr="00B8287A" w:rsidRDefault="00B8287A" w:rsidP="007B2177">
            <w:pPr>
              <w:pStyle w:val="ListParagraph"/>
              <w:tabs>
                <w:tab w:val="left" w:pos="-720"/>
              </w:tabs>
              <w:suppressAutoHyphens/>
              <w:spacing w:after="120"/>
              <w:ind w:left="0"/>
              <w:rPr>
                <w:rFonts w:asciiTheme="minorHAnsi" w:hAnsiTheme="minorHAnsi" w:cs="Arial"/>
                <w:spacing w:val="-3"/>
                <w:sz w:val="22"/>
                <w:szCs w:val="22"/>
                <w:lang w:val="en-US"/>
              </w:rPr>
            </w:pPr>
          </w:p>
        </w:tc>
        <w:tc>
          <w:tcPr>
            <w:tcW w:w="8080" w:type="dxa"/>
            <w:gridSpan w:val="2"/>
          </w:tcPr>
          <w:p w14:paraId="0DA5BF49" w14:textId="77777777" w:rsidR="00B8287A" w:rsidRPr="00B8287A" w:rsidRDefault="00B8287A" w:rsidP="007B2177">
            <w:pPr>
              <w:tabs>
                <w:tab w:val="left" w:pos="-720"/>
                <w:tab w:val="left" w:pos="0"/>
              </w:tabs>
              <w:suppressAutoHyphens/>
              <w:spacing w:after="120"/>
              <w:jc w:val="both"/>
              <w:rPr>
                <w:rFonts w:cs="Arial"/>
                <w:spacing w:val="-3"/>
                <w:u w:val="single"/>
                <w:lang w:val="en-US"/>
              </w:rPr>
            </w:pPr>
            <w:r w:rsidRPr="00B8287A">
              <w:rPr>
                <w:rFonts w:cs="Arial"/>
                <w:spacing w:val="-3"/>
                <w:lang w:val="en-US"/>
              </w:rPr>
              <w:t>A record of the Baptism and the Laying on of Hands in Confirmation shall be kept by the Church and a copy given to the person.</w:t>
            </w:r>
            <w:r w:rsidRPr="00B8287A">
              <w:rPr>
                <w:rFonts w:cs="Arial"/>
                <w:spacing w:val="-2"/>
                <w:lang w:val="en-US"/>
              </w:rPr>
              <w:t xml:space="preserve"> [1990]</w:t>
            </w:r>
          </w:p>
        </w:tc>
      </w:tr>
    </w:tbl>
    <w:p w14:paraId="0BED4D21" w14:textId="77777777" w:rsidR="005424D7" w:rsidRPr="00B8287A" w:rsidRDefault="005424D7" w:rsidP="00D8212E"/>
    <w:sectPr w:rsidR="005424D7" w:rsidRPr="00B8287A" w:rsidSect="001D3AD4">
      <w:footerReference w:type="default" r:id="rId10"/>
      <w:pgSz w:w="11906" w:h="16838"/>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2E511" w14:textId="77777777" w:rsidR="005E3D00" w:rsidRDefault="005E3D00">
      <w:pPr>
        <w:spacing w:after="0" w:line="240" w:lineRule="auto"/>
      </w:pPr>
      <w:r>
        <w:separator/>
      </w:r>
    </w:p>
  </w:endnote>
  <w:endnote w:type="continuationSeparator" w:id="0">
    <w:p w14:paraId="696A8C99" w14:textId="77777777" w:rsidR="005E3D00" w:rsidRDefault="005E3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1BA1" w14:textId="77777777" w:rsidR="00D82AD2" w:rsidRPr="00B8287A" w:rsidRDefault="00D8212E" w:rsidP="00381AF5">
    <w:pPr>
      <w:pStyle w:val="Footer"/>
      <w:numPr>
        <w:ilvl w:val="0"/>
        <w:numId w:val="1"/>
      </w:numPr>
      <w:tabs>
        <w:tab w:val="clear" w:pos="4513"/>
      </w:tabs>
      <w:ind w:left="4678" w:hanging="193"/>
      <w:rPr>
        <w:color w:val="FFFFFF" w:themeColor="background1"/>
        <w:sz w:val="20"/>
        <w:szCs w:val="20"/>
      </w:rPr>
    </w:pPr>
    <w:r w:rsidRPr="00B8287A">
      <w:rPr>
        <w:color w:val="FFFFFF" w:themeColor="background1"/>
        <w:sz w:val="20"/>
        <w:szCs w:val="20"/>
      </w:rPr>
      <w:t>GS. 16 -</w:t>
    </w:r>
    <w:r w:rsidRPr="00B8287A">
      <w:rPr>
        <w:color w:val="FFFFFF" w:themeColor="background1"/>
        <w:sz w:val="20"/>
        <w:szCs w:val="20"/>
      </w:rP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B28C" w14:textId="77777777" w:rsidR="005E3D00" w:rsidRDefault="005E3D00">
      <w:pPr>
        <w:spacing w:after="0" w:line="240" w:lineRule="auto"/>
      </w:pPr>
      <w:r>
        <w:separator/>
      </w:r>
    </w:p>
  </w:footnote>
  <w:footnote w:type="continuationSeparator" w:id="0">
    <w:p w14:paraId="61099480" w14:textId="77777777" w:rsidR="005E3D00" w:rsidRDefault="005E3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53C55"/>
    <w:multiLevelType w:val="hybridMultilevel"/>
    <w:tmpl w:val="8F8C7B3A"/>
    <w:lvl w:ilvl="0" w:tplc="2A1E3584">
      <w:start w:val="5"/>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D7"/>
    <w:rsid w:val="00031B3D"/>
    <w:rsid w:val="001D3AD4"/>
    <w:rsid w:val="002228C6"/>
    <w:rsid w:val="00476C4A"/>
    <w:rsid w:val="005424D7"/>
    <w:rsid w:val="005E3D00"/>
    <w:rsid w:val="005F6472"/>
    <w:rsid w:val="00634111"/>
    <w:rsid w:val="006A6DF3"/>
    <w:rsid w:val="00A02BC3"/>
    <w:rsid w:val="00AF596A"/>
    <w:rsid w:val="00B8287A"/>
    <w:rsid w:val="00C33E30"/>
    <w:rsid w:val="00C94B6A"/>
    <w:rsid w:val="00CC23DD"/>
    <w:rsid w:val="00D073A4"/>
    <w:rsid w:val="00D821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F74E"/>
  <w15:chartTrackingRefBased/>
  <w15:docId w15:val="{E10C0731-7870-42AF-A340-8A58461F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424D7"/>
    <w:pPr>
      <w:tabs>
        <w:tab w:val="center" w:pos="4513"/>
        <w:tab w:val="right" w:pos="9026"/>
      </w:tabs>
      <w:spacing w:after="0" w:line="240" w:lineRule="auto"/>
    </w:pPr>
    <w:rPr>
      <w:rFonts w:ascii="Times New Roman" w:eastAsia="Times New Roman" w:hAnsi="Times New Roman" w:cs="Times New Roman"/>
      <w:sz w:val="24"/>
      <w:szCs w:val="24"/>
      <w:lang w:val="en-AU"/>
    </w:rPr>
  </w:style>
  <w:style w:type="character" w:customStyle="1" w:styleId="FooterChar">
    <w:name w:val="Footer Char"/>
    <w:basedOn w:val="DefaultParagraphFont"/>
    <w:link w:val="Footer"/>
    <w:uiPriority w:val="99"/>
    <w:rsid w:val="005424D7"/>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031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B3D"/>
    <w:rPr>
      <w:rFonts w:ascii="Segoe UI" w:hAnsi="Segoe UI" w:cs="Segoe UI"/>
      <w:sz w:val="18"/>
      <w:szCs w:val="18"/>
    </w:rPr>
  </w:style>
  <w:style w:type="paragraph" w:styleId="ListParagraph">
    <w:name w:val="List Paragraph"/>
    <w:basedOn w:val="Normal"/>
    <w:uiPriority w:val="34"/>
    <w:qFormat/>
    <w:rsid w:val="00B8287A"/>
    <w:pPr>
      <w:spacing w:after="0" w:line="240" w:lineRule="auto"/>
      <w:ind w:left="720"/>
      <w:contextualSpacing/>
    </w:pPr>
    <w:rPr>
      <w:rFonts w:ascii="Times New Roman" w:eastAsia="Times New Roman" w:hAnsi="Times New Roman" w:cs="Times New Roman"/>
      <w:sz w:val="24"/>
      <w:szCs w:val="24"/>
      <w:lang w:val="en-AU"/>
    </w:rPr>
  </w:style>
  <w:style w:type="paragraph" w:styleId="Header">
    <w:name w:val="header"/>
    <w:basedOn w:val="Normal"/>
    <w:link w:val="HeaderChar"/>
    <w:uiPriority w:val="99"/>
    <w:unhideWhenUsed/>
    <w:rsid w:val="00B828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8B304-B14D-4B87-B212-A4369FA9523A}">
  <ds:schemaRefs>
    <ds:schemaRef ds:uri="http://www.w3.org/XML/1998/namespace"/>
    <ds:schemaRef ds:uri="cb32b36e-1ca9-4009-987b-c8d3bf69da51"/>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fb0e633-e10e-4f72-bd97-71b29ba6a154"/>
    <ds:schemaRef ds:uri="http://purl.org/dc/dcmitype/"/>
  </ds:schemaRefs>
</ds:datastoreItem>
</file>

<file path=customXml/itemProps2.xml><?xml version="1.0" encoding="utf-8"?>
<ds:datastoreItem xmlns:ds="http://schemas.openxmlformats.org/officeDocument/2006/customXml" ds:itemID="{8EE1E2CD-CED0-496F-8591-6111DCC6766F}">
  <ds:schemaRefs>
    <ds:schemaRef ds:uri="http://schemas.microsoft.com/sharepoint/v3/contenttype/forms"/>
  </ds:schemaRefs>
</ds:datastoreItem>
</file>

<file path=customXml/itemProps3.xml><?xml version="1.0" encoding="utf-8"?>
<ds:datastoreItem xmlns:ds="http://schemas.openxmlformats.org/officeDocument/2006/customXml" ds:itemID="{05AC4899-4EA3-4DD0-B61E-9F7BDFA5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Motion 5 (2016 M17) Christian Initiation Guidelines</dc:title>
  <dc:subject/>
  <dc:creator>Michael Hughes</dc:creator>
  <cp:keywords/>
  <dc:description/>
  <cp:lastModifiedBy>Marissa Alix</cp:lastModifiedBy>
  <cp:revision>2</cp:revision>
  <cp:lastPrinted>2018-03-08T05:04:00Z</cp:lastPrinted>
  <dcterms:created xsi:type="dcterms:W3CDTF">2018-03-20T22:39:00Z</dcterms:created>
  <dcterms:modified xsi:type="dcterms:W3CDTF">2018-03-20T22:39:00Z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